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11 378 vom 16. Mai 2012</w:t>
      </w:r>
    </w:p>
    <w:p>
      <w:r>
        <w:t>BL Gerichte, 2012-05-16, DE</w:t>
      </w:r>
    </w:p>
    <w:p>
      <w:r>
        <w:rPr>
          <w:b/>
        </w:rPr>
        <w:t xml:space="preserve">Quelle: </w:t>
      </w:r>
      <w:r>
        <w:t>https://mcp.opencaselaw.ch/entscheid/bl_gerichte_810 11 378</w:t>
      </w:r>
    </w:p>
    <w:p>
      <w:r>
        <w:t>FR: BL_GERICHTE 810 11 378 du 16 mai 2012</w:t>
      </w:r>
    </w:p>
    <w:p>
      <w:r>
        <w:t>IT: BL_GERICHTE 810 11 378 del 16 maggio 2012</w:t>
      </w:r>
    </w:p>
    <w:p>
      <w:pPr>
        <w:pStyle w:val="Heading2"/>
      </w:pPr>
      <w:r>
        <w:t>Regeste</w:t>
      </w:r>
    </w:p>
    <w:p>
      <w:r>
        <w:t>Vergabeverfahren Bauauftrag Sicherheitstüren, Neubau Strafjustizzentrum C. (RRB Nr. 1480 vom 25. Oktober 2011)</w:t>
      </w:r>
    </w:p>
    <w:p>
      <w:pPr>
        <w:pStyle w:val="Heading2"/>
      </w:pPr>
      <w:r>
        <w:t>Erwägungen</w:t>
      </w:r>
    </w:p>
    <w:p>
      <w:r>
        <w:rPr>
          <w:b/>
        </w:rPr>
        <w:t>E. 1</w:t>
      </w:r>
    </w:p>
    <w:p>
      <w:r>
        <w:t>Gemäss § 30 in Verbindung mit § 31 lit. f des Gesetzes über öffentliche Beschaffungen (BeG) vom 3. Juni 1999 kann gegen eine Zuschlagsverfügung Beschwerde erhoben werden. Soweit das Gesetz nichts anderes vorsieht, richtet sich das Verfahren nach dem Gesetz über die Verfassungs- und Verwaltungsprozessordnung (VPO) vom 16. Dezember 1993 (§ 30 Abs. 5 BeG). Demgemäss ist gestützt auf § 47 Abs. 1 VPO zur Beschwerde befugt, wer durch die angefochtene Verfügung oder den angefochtenen Entscheid berührt ist und ein schutzwürdiges Interesse an der Änderung oder Aufhebung hat (lit. a) und jede andere Person, Organisation oder Behörde, die durch besondere Vorschrift zur Beschwerde ermächtigt ist (lit. b). Zu den sogenannt primären Verfügungsadressaten, welche formell beschwert sind, gehören bei einem öffentlichen Vergabeverfahren nach Art. 9 des Bundesgesetzes über den Binnenmarkt (BGBM) vom 6. Oktober 1995 unter anderem die nicht berücksichtigten Mitbewerber (Entscheid der Eidgenössischen Rekurskommission für das öffentliche Beschaffungswesen vom 4. August 1998, in: Baurecht 1999, S. 54, S4). Die Beschwerdeführerinnen sind zudem, da sie am Vergabeverfahren teilgenommen haben und den Zuschlag nicht erhalten haben, in der vorliegenden Sache auch materiell beschwert und damit zur Beschwerde legitimiert. Die weiteren formellen Voraussetzungen sind ebenfalls erfüllt, sodass auf die Beschwerde einzutreten ist.</w:t>
      </w:r>
    </w:p>
    <w:p>
      <w:r>
        <w:rPr>
          <w:b/>
        </w:rPr>
        <w:t>E. 2</w:t>
      </w:r>
    </w:p>
    <w:p>
      <w:r>
        <w:t>In der Beurteilung der vorliegenden verwaltungsgerichtlichen Beschwerde ist die Kognition des Kantonsgerichts gemäss § 45 lit. a und b VPO darauf beschränkt, den angefochtenen Entscheid hinsichtlich allfälliger Rechtsverletzungen zu überprüfen bzw. zu prüfen, ob der Beschwerdegegner ein allfälliges Ermessen rechtsfehlerhaft ausgeübt hat. Im Weiteren kann beurteilt werden, ob diese den Sachverhalt unrichtig oder unvollständig festgestellt hat. Die Überprüfung der Angemessenheit der Zuschlagsverfügung dagegen ist dem Kantonsgericht verwehrt (§ 45 lit. c VPO e contrario).</w:t>
      </w:r>
    </w:p>
    <w:p>
      <w:r>
        <w:rPr>
          <w:b/>
        </w:rPr>
        <w:t>E. 3</w:t>
      </w:r>
    </w:p>
    <w:p>
      <w:r>
        <w:t>Der Regierungsrat des Kantons Basel-Landschaft hat den Beschwerdeführerinnen eine reduzierte Parteientschädigung in der Höhe von total Fr. 2'500.-- (inkl. Auslagen und 8% MWST) zu bezahlen. Im Übrigen werden die Parteikosten wettgeschlagen. Präsidentin Gerichtsschreiber Gegen diesen Entscheid haben die Beschwerdeführerinnen am 19. Juli 2012 beim Bundesgericht Beschwerde erhoben (Verfahrensnummer: 2C_720/2012).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